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outlineLvl w:val="0"/>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outlineLvl w:val="0"/>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eastAsia="仿宋_GB2312"/>
          <w:sz w:val="32"/>
          <w:szCs w:val="32"/>
          <w:lang w:val="en-US" w:eastAsia="zh-CN"/>
        </w:rPr>
        <w:t>0</w:t>
      </w:r>
      <w:bookmarkStart w:id="0" w:name="_GoBack"/>
      <w:bookmarkEnd w:id="0"/>
      <w:r>
        <w:rPr>
          <w:rFonts w:hint="eastAsia" w:ascii="仿宋_GB2312" w:eastAsia="仿宋_GB2312"/>
          <w:sz w:val="32"/>
          <w:szCs w:val="32"/>
          <w:lang w:val="en-US" w:eastAsia="zh-CN"/>
        </w:rPr>
        <w:t>23</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left="319" w:leftChars="152" w:firstLine="400" w:firstLineChars="1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_GB2312" w:eastAsia="仿宋_GB2312" w:cs="仿宋_GB2312"/>
          <w:color w:val="auto"/>
          <w:kern w:val="0"/>
          <w:sz w:val="32"/>
          <w:szCs w:val="32"/>
          <w:lang w:val="en-US" w:eastAsia="zh-CN"/>
        </w:rPr>
        <w:t>1640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w:t>
      </w:r>
      <w:r>
        <w:rPr>
          <w:rFonts w:hint="eastAsia" w:hAnsi="仿宋_GB2312" w:cs="仿宋_GB2312"/>
          <w:szCs w:val="32"/>
          <w:lang w:val="en-US" w:eastAsia="zh-CN"/>
        </w:rPr>
        <w:t>即新公司的股东必须100%是竞买申请企业作为法人的股东</w:t>
      </w:r>
      <w:r>
        <w:rPr>
          <w:rFonts w:hint="eastAsia" w:ascii="Times New Roman" w:hAnsi="Times New Roman"/>
          <w:lang w:val="en-US" w:eastAsia="zh-CN"/>
        </w:rPr>
        <w:t>）</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outlineLvl w:val="0"/>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492</w:t>
      </w:r>
      <w:r>
        <w:rPr>
          <w:rFonts w:hint="eastAsia" w:hAnsi="仿宋_GB2312" w:cs="仿宋_GB2312"/>
          <w:szCs w:val="32"/>
        </w:rPr>
        <w:t>万元人民币。</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0"/>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二</w:t>
      </w:r>
      <w:r>
        <w:rPr>
          <w:rFonts w:hint="eastAsia" w:hAnsi="仿宋_GB2312" w:cs="仿宋_GB231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w:t>
      </w:r>
      <w:r>
        <w:rPr>
          <w:rFonts w:hint="eastAsia" w:ascii="仿宋" w:hAnsi="仿宋" w:eastAsia="仿宋"/>
          <w:sz w:val="32"/>
          <w:szCs w:val="32"/>
          <w:lang w:val="en-US" w:eastAsia="zh-CN"/>
        </w:rPr>
        <w:t>且至报名日止未处罚完结的；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w:t>
      </w:r>
      <w:r>
        <w:rPr>
          <w:rFonts w:hint="eastAsia" w:ascii="仿宋" w:hAnsi="仿宋" w:eastAsia="仿宋"/>
          <w:sz w:val="32"/>
          <w:szCs w:val="32"/>
          <w:lang w:val="en-US" w:eastAsia="zh-CN"/>
        </w:rPr>
        <w:t>情形且至报名日止未处罚完结的；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_GB2312" w:hAnsi="宋体" w:eastAsia="仿宋_GB2312" w:cs="宋体"/>
          <w:color w:val="auto"/>
          <w:kern w:val="0"/>
          <w:sz w:val="32"/>
          <w:szCs w:val="32"/>
          <w:lang w:val="en-US" w:eastAsia="zh-CN" w:bidi="ar-SA"/>
        </w:rPr>
        <w:t>至报名日止仍拖欠政府地价款</w:t>
      </w:r>
      <w:r>
        <w:rPr>
          <w:rFonts w:hint="eastAsia" w:ascii="仿宋" w:hAnsi="仿宋" w:eastAsia="仿宋"/>
          <w:sz w:val="32"/>
          <w:szCs w:val="32"/>
        </w:rPr>
        <w:t>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w:t>
      </w:r>
      <w:r>
        <w:rPr>
          <w:rFonts w:hint="eastAsia" w:ascii="仿宋_GB2312" w:hAnsi="仿宋_GB2312" w:eastAsia="仿宋_GB2312" w:cs="仿宋_GB2312"/>
          <w:sz w:val="32"/>
          <w:szCs w:val="32"/>
          <w:lang w:val="en-US" w:eastAsia="zh-CN"/>
        </w:rPr>
        <w:t>录</w:t>
      </w:r>
      <w:r>
        <w:rPr>
          <w:rFonts w:hint="eastAsia" w:ascii="仿宋_GB2312" w:hAnsi="仿宋_GB2312" w:eastAsia="仿宋_GB2312" w:cs="仿宋_GB2312"/>
          <w:sz w:val="32"/>
          <w:szCs w:val="32"/>
        </w:rPr>
        <w:t>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成交价的20%转作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宋体" w:eastAsia="仿宋_GB2312" w:cs="宋体"/>
          <w:color w:val="auto"/>
          <w:kern w:val="0"/>
          <w:sz w:val="32"/>
          <w:szCs w:val="32"/>
          <w:lang w:val="en-US" w:eastAsia="zh-CN"/>
        </w:rPr>
        <w:t>16029</w:t>
      </w:r>
      <w:r>
        <w:rPr>
          <w:rFonts w:hint="eastAsia" w:ascii="仿宋_GB2312" w:hAnsi="仿宋_GB2312" w:eastAsia="仿宋_GB2312" w:cs="仿宋_GB2312"/>
          <w:sz w:val="32"/>
          <w:szCs w:val="32"/>
        </w:rPr>
        <w:t>万元（含地价）。</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kern w:val="2"/>
          <w:sz w:val="32"/>
          <w:szCs w:val="32"/>
          <w:lang w:val="en-US" w:eastAsia="zh-CN" w:bidi="ar-SA"/>
        </w:rPr>
        <w:t>竞得人在用地红线内开发建设必须符合城市规划要求，必须按《</w:t>
      </w:r>
      <w:r>
        <w:rPr>
          <w:rFonts w:hint="eastAsia" w:ascii="仿宋_GB2312" w:hAnsi="仿宋_GB2312" w:eastAsia="仿宋_GB2312" w:cs="仿宋_GB2312"/>
          <w:sz w:val="32"/>
          <w:szCs w:val="32"/>
          <w:lang w:val="en-US" w:eastAsia="zh-CN"/>
        </w:rPr>
        <w:t>建设用地规划设计条件</w:t>
      </w:r>
      <w:r>
        <w:rPr>
          <w:rFonts w:hint="eastAsia" w:ascii="仿宋_GB2312" w:hAnsi="仿宋_GB2312" w:eastAsia="仿宋_GB2312" w:cs="仿宋_GB2312"/>
          <w:kern w:val="2"/>
          <w:sz w:val="32"/>
          <w:szCs w:val="32"/>
          <w:lang w:val="en-US" w:eastAsia="zh-CN" w:bidi="ar-SA"/>
        </w:rPr>
        <w:t>》（案卷编号：</w:t>
      </w:r>
      <w:r>
        <w:rPr>
          <w:rFonts w:hint="eastAsia" w:ascii="仿宋_GB2312" w:hAnsi="仿宋_GB2312" w:eastAsia="仿宋_GB2312" w:cs="仿宋_GB2312"/>
          <w:sz w:val="32"/>
          <w:szCs w:val="32"/>
        </w:rPr>
        <w:t>PB202</w:t>
      </w:r>
      <w:r>
        <w:rPr>
          <w:rFonts w:hint="default" w:ascii="仿宋_GB2312" w:hAnsi="仿宋_GB2312" w:eastAsia="仿宋_GB2312" w:cs="仿宋_GB2312"/>
          <w:sz w:val="32"/>
          <w:szCs w:val="32"/>
          <w:lang w:val="en-US"/>
        </w:rPr>
        <w:t>200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的</w:t>
      </w:r>
      <w:r>
        <w:rPr>
          <w:rFonts w:hint="eastAsia" w:ascii="仿宋_GB2312" w:hAnsi="仿宋_GB2312" w:eastAsia="仿宋_GB2312" w:cs="仿宋_GB2312"/>
          <w:kern w:val="2"/>
          <w:sz w:val="32"/>
          <w:szCs w:val="32"/>
          <w:lang w:val="en-US" w:eastAsia="zh-CN" w:bidi="ar-SA"/>
        </w:rPr>
        <w:t>规划控制指标要求及有关规定进行规划设计</w:t>
      </w:r>
      <w:r>
        <w:rPr>
          <w:rFonts w:hint="eastAsia" w:ascii="仿宋_GB2312" w:hAnsi="宋体" w:eastAsia="仿宋_GB2312" w:cs="宋体"/>
          <w:color w:val="auto"/>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项目规划建设方案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lang w:val="en-US" w:eastAsia="zh-CN" w:bidi="ar-SA"/>
        </w:rPr>
      </w:pPr>
      <w:r>
        <w:rPr>
          <w:rFonts w:hint="eastAsia" w:ascii="仿宋_GB2312" w:hAnsi="仿宋_GB2312" w:eastAsia="仿宋_GB2312" w:cs="仿宋_GB2312"/>
          <w:color w:val="auto"/>
          <w:sz w:val="32"/>
          <w:szCs w:val="32"/>
          <w:lang w:eastAsia="zh-CN"/>
        </w:rPr>
        <w:t>所报总平面图的主要技术经济指标：</w:t>
      </w:r>
      <w:r>
        <w:rPr>
          <w:rFonts w:hint="eastAsia" w:ascii="仿宋_GB2312" w:hAnsi="宋体" w:eastAsia="仿宋_GB2312" w:cs="宋体"/>
          <w:kern w:val="0"/>
          <w:sz w:val="32"/>
          <w:szCs w:val="32"/>
          <w:lang w:val="en-US" w:eastAsia="zh-CN" w:bidi="ar-SA"/>
        </w:rPr>
        <w:t>规划布局2栋厂房1栋宿舍楼1间门卫室，地上最高10层，建筑高度最高49.8米，主要技术经济指标：计算指标用地面积16028.92平方米，计容积率建筑面积40072平方米（其中生活服务设施建筑面积占比18.3%），容积率2.5，建筑密度40.1％（其中生活服务设施基底面积占用地面积比5.2%），绿地率15％，机动车停车位173个（地面53个，地下120个）。所报方案符合《建设用地规划设计条件》（PB20220024）要求。须按程序进行公示，公示期未收到公众意见，则同意所报总平面图及单体建筑设计方案。建设单位须同步做好管线综合设计报审，排水设计应实施雨污分流，建筑设计须符合国家、省、市有关绿色建筑和建筑节能方面的技术规范和标准，须按海绵城市设计要求做好设计及施工，本项目应按照《惠州市人民政府办公室关于大力发展装配式建筑的实施意见》（惠府办〔2019〕10号）的要求执行，停车场须按不低于总停车位的10%的比例配置充电设施。须按人防相关文件、规范要求做好人防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招商条件</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投资强度不低于10000元/平方米，土地产出率（</w:t>
      </w:r>
      <w:r>
        <w:rPr>
          <w:rFonts w:hint="eastAsia" w:ascii="仿宋_GB2312" w:hAnsi="宋体" w:eastAsia="仿宋_GB2312" w:cs="宋体"/>
          <w:kern w:val="0"/>
          <w:sz w:val="32"/>
          <w:szCs w:val="32"/>
          <w:lang w:val="en-US" w:eastAsia="zh-CN"/>
        </w:rPr>
        <w:t>工业产值</w:t>
      </w:r>
      <w:r>
        <w:rPr>
          <w:rFonts w:hint="eastAsia" w:ascii="仿宋_GB2312" w:hAnsi="宋体" w:eastAsia="仿宋_GB2312" w:cs="宋体"/>
          <w:kern w:val="0"/>
          <w:sz w:val="32"/>
          <w:szCs w:val="32"/>
          <w:lang w:eastAsia="zh-CN"/>
        </w:rPr>
        <w:t>）不低于20000元/平方米/年，税收产出不低于1000元/平方米/年。其中，土地产出率及税收产出，在项目投产后3年内逐年考核，3年内的平均值不得低于上述标准。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向自然资源部门申请，经惠城区人民政府备案同意，并符合惠城区产业发展方向及项目入区审核标准。本宗地交付乙方后,乙方须向惠州市惠城区高新科技产业园管理委员会提交项目投资计划书和时间安排表，并按月向惠州市惠城区高新科技产业园管理委员会书面报告项目进展情况，直至项目投产。</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竞得人在签订《成交确认书》前，须与</w:t>
      </w:r>
      <w:r>
        <w:rPr>
          <w:rFonts w:hint="eastAsia" w:ascii="仿宋_GB2312" w:hAnsi="宋体" w:eastAsia="仿宋_GB2312" w:cs="宋体"/>
          <w:kern w:val="0"/>
          <w:sz w:val="32"/>
          <w:szCs w:val="32"/>
          <w:lang w:eastAsia="zh-CN"/>
        </w:rPr>
        <w:t>惠州市惠城区高新科技产业园管理委员会</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》，并由</w:t>
      </w:r>
      <w:r>
        <w:rPr>
          <w:rFonts w:hint="eastAsia" w:ascii="仿宋_GB2312" w:hAnsi="宋体" w:eastAsia="仿宋_GB2312" w:cs="宋体"/>
          <w:kern w:val="0"/>
          <w:sz w:val="32"/>
          <w:szCs w:val="32"/>
          <w:lang w:eastAsia="zh-CN"/>
        </w:rPr>
        <w:t>惠州市惠城区高新科技产业园管理委员会</w:t>
      </w:r>
      <w:r>
        <w:rPr>
          <w:rFonts w:hint="eastAsia" w:ascii="仿宋_GB2312" w:hAnsi="仿宋_GB2312" w:eastAsia="仿宋_GB2312" w:cs="仿宋_GB2312"/>
          <w:color w:val="auto"/>
          <w:sz w:val="32"/>
          <w:szCs w:val="32"/>
        </w:rPr>
        <w:t>对项目用地实施批后监管。</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详见挂牌文件附件，网址：https://www.hzgtjy.com/</w:t>
      </w:r>
      <w:r>
        <w:rPr>
          <w:rFonts w:hint="eastAsia" w:ascii="仿宋_GB2312" w:hAnsi="仿宋_GB2312" w:eastAsia="仿宋_GB2312" w:cs="仿宋_GB2312"/>
          <w:color w:val="auto"/>
          <w:sz w:val="32"/>
          <w:szCs w:val="32"/>
          <w:lang w:eastAsia="zh-CN"/>
        </w:rPr>
        <w:t>）</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七）其他条件：</w:t>
      </w:r>
      <w:r>
        <w:rPr>
          <w:rFonts w:hint="eastAsia" w:ascii="Times New Roman" w:hAnsi="Times New Roman" w:eastAsia="仿宋_GB2312" w:cs="仿宋_GB2312"/>
          <w:kern w:val="2"/>
          <w:sz w:val="32"/>
          <w:szCs w:val="32"/>
          <w:lang w:val="en-US" w:eastAsia="zh-CN" w:bidi="ar-SA"/>
        </w:rPr>
        <w:t>按照控规要求，取得上述宗地权利人</w:t>
      </w:r>
      <w:r>
        <w:rPr>
          <w:rFonts w:hint="default" w:ascii="Times New Roman" w:hAnsi="Times New Roman" w:eastAsia="仿宋_GB2312" w:cs="仿宋_GB2312"/>
          <w:kern w:val="2"/>
          <w:sz w:val="32"/>
          <w:szCs w:val="32"/>
          <w:lang w:val="en-US" w:eastAsia="zh-CN" w:bidi="ar-SA"/>
        </w:rPr>
        <w:t>需配建供电开关</w:t>
      </w:r>
      <w:r>
        <w:rPr>
          <w:rFonts w:hint="eastAsia" w:ascii="Times New Roman" w:hAnsi="Times New Roman" w:eastAsia="仿宋_GB2312" w:cs="仿宋_GB2312"/>
          <w:kern w:val="2"/>
          <w:sz w:val="32"/>
          <w:szCs w:val="32"/>
          <w:lang w:val="en-US" w:eastAsia="zh-CN" w:bidi="ar-SA"/>
        </w:rPr>
        <w:t>站</w:t>
      </w:r>
      <w:r>
        <w:rPr>
          <w:rFonts w:hint="default" w:ascii="Times New Roman" w:hAnsi="Times New Roman" w:eastAsia="仿宋_GB2312" w:cs="仿宋_GB2312"/>
          <w:kern w:val="2"/>
          <w:sz w:val="32"/>
          <w:szCs w:val="32"/>
          <w:lang w:val="en-US" w:eastAsia="zh-CN" w:bidi="ar-SA"/>
        </w:rPr>
        <w:t>配套用房，建成后无偿交给惠城区政府相关部门管理使用。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sz w:val="32"/>
          <w:szCs w:val="32"/>
        </w:rPr>
        <w:t>竞得人有下列行为之一的，视为违约，取消竞得人资格，</w:t>
      </w:r>
      <w:r>
        <w:rPr>
          <w:rFonts w:hint="eastAsia" w:ascii="仿宋_GB2312" w:hAnsi="仿宋_GB2312" w:eastAsia="仿宋_GB2312" w:cs="仿宋_GB2312"/>
          <w:sz w:val="32"/>
          <w:szCs w:val="32"/>
          <w:lang w:val="en-US" w:eastAsia="zh-CN"/>
        </w:rPr>
        <w:t>定金不予返还</w:t>
      </w:r>
      <w:r>
        <w:rPr>
          <w:rFonts w:hint="eastAsia" w:ascii="仿宋_GB2312" w:hAnsi="仿宋_GB2312" w:eastAsia="仿宋_GB2312" w:cs="仿宋_GB2312"/>
          <w:sz w:val="32"/>
          <w:szCs w:val="32"/>
        </w:rPr>
        <w:t>,并由有关部门依法处理;造成损失的，竞得人还应依法承担赔偿责任：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地址：惠州市</w:t>
      </w:r>
      <w:r>
        <w:rPr>
          <w:rFonts w:hint="eastAsia" w:ascii="仿宋_GB2312" w:hAnsi="仿宋_GB2312" w:eastAsia="仿宋_GB2312" w:cs="仿宋_GB2312"/>
          <w:color w:val="auto"/>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陈先生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w:t>
      </w:r>
      <w:r>
        <w:rPr>
          <w:rFonts w:hint="eastAsia" w:ascii="仿宋_GB2312" w:hAnsi="仿宋_GB2312" w:eastAsia="仿宋_GB2312" w:cs="仿宋_GB2312"/>
          <w:sz w:val="32"/>
          <w:szCs w:val="32"/>
          <w:lang w:val="en-US" w:eastAsia="zh-CN"/>
        </w:rPr>
        <w:t>李</w:t>
      </w:r>
      <w:r>
        <w:rPr>
          <w:rFonts w:hint="eastAsia" w:ascii="仿宋_GB2312" w:hAnsi="仿宋_GB2312" w:eastAsia="仿宋_GB2312" w:cs="仿宋_GB2312"/>
          <w:sz w:val="32"/>
          <w:szCs w:val="32"/>
        </w:rPr>
        <w:t>小姐</w:t>
      </w:r>
    </w:p>
    <w:p>
      <w:pPr>
        <w:keepNext w:val="0"/>
        <w:keepLines w:val="0"/>
        <w:pageBreakBefore w:val="0"/>
        <w:widowControl w:val="0"/>
        <w:kinsoku/>
        <w:wordWrap/>
        <w:overflowPunct/>
        <w:topLinePunct w:val="0"/>
        <w:autoSpaceDE/>
        <w:autoSpaceDN/>
        <w:bidi w:val="0"/>
        <w:spacing w:line="560" w:lineRule="exact"/>
        <w:ind w:firstLine="555"/>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7121026、7121057</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数字证书办理地址：广东省惠州市</w:t>
      </w:r>
      <w:r>
        <w:rPr>
          <w:rFonts w:hint="eastAsia" w:ascii="仿宋_GB2312" w:hAnsi="仿宋_GB2312" w:eastAsia="仿宋_GB2312" w:cs="仿宋_GB2312"/>
          <w:sz w:val="32"/>
          <w:szCs w:val="32"/>
          <w:lang w:val="en-US" w:eastAsia="zh-CN"/>
        </w:rPr>
        <w:t>惠城区三新北路31号市民服务中心3号楼惠州市公共资源交易中心一楼大厅1号土地与矿业交易窗口。</w:t>
      </w:r>
    </w:p>
    <w:p>
      <w:pPr>
        <w:keepNext w:val="0"/>
        <w:keepLines w:val="0"/>
        <w:pageBreakBefore w:val="0"/>
        <w:widowControl w:val="0"/>
        <w:kinsoku/>
        <w:wordWrap/>
        <w:overflowPunct/>
        <w:topLinePunct w:val="0"/>
        <w:autoSpaceDE/>
        <w:autoSpaceDN/>
        <w:bidi w:val="0"/>
        <w:spacing w:line="560" w:lineRule="exact"/>
        <w:ind w:firstLine="555"/>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7121029</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360" w:lineRule="auto"/>
        <w:jc w:val="cente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2022年8月1日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outlineLvl w:val="0"/>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p>
      <w:pPr>
        <w:pStyle w:val="2"/>
        <w:rPr>
          <w:rFonts w:hint="eastAsia"/>
        </w:rPr>
      </w:pPr>
    </w:p>
    <w:tbl>
      <w:tblPr>
        <w:tblStyle w:val="8"/>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90"/>
        <w:gridCol w:w="615"/>
        <w:gridCol w:w="570"/>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69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61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lang w:val="en-US" w:eastAsia="zh-CN"/>
              </w:rPr>
              <w:t>地块</w:t>
            </w:r>
            <w:r>
              <w:rPr>
                <w:rFonts w:hint="eastAsia" w:ascii="仿宋_GB2312" w:eastAsia="仿宋_GB2312"/>
                <w:b/>
                <w:bCs/>
                <w:szCs w:val="21"/>
              </w:rPr>
              <w:t>编号</w:t>
            </w:r>
          </w:p>
        </w:tc>
        <w:tc>
          <w:tcPr>
            <w:tcW w:w="57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690" w:type="dxa"/>
            <w:vMerge w:val="continue"/>
            <w:vAlign w:val="center"/>
          </w:tcPr>
          <w:p>
            <w:pPr>
              <w:adjustRightInd w:val="0"/>
              <w:snapToGrid w:val="0"/>
              <w:spacing w:line="320" w:lineRule="exact"/>
              <w:jc w:val="center"/>
              <w:rPr>
                <w:rFonts w:hint="eastAsia" w:ascii="仿宋_GB2312" w:eastAsia="仿宋_GB2312"/>
                <w:b/>
                <w:bCs/>
              </w:rPr>
            </w:pPr>
          </w:p>
        </w:tc>
        <w:tc>
          <w:tcPr>
            <w:tcW w:w="615" w:type="dxa"/>
            <w:vMerge w:val="continue"/>
            <w:vAlign w:val="center"/>
          </w:tcPr>
          <w:p>
            <w:pPr>
              <w:adjustRightInd w:val="0"/>
              <w:snapToGrid w:val="0"/>
              <w:spacing w:line="320" w:lineRule="exact"/>
              <w:jc w:val="center"/>
              <w:rPr>
                <w:rFonts w:hint="eastAsia" w:ascii="仿宋_GB2312" w:eastAsia="仿宋_GB2312"/>
                <w:b/>
                <w:bCs/>
              </w:rPr>
            </w:pPr>
          </w:p>
        </w:tc>
        <w:tc>
          <w:tcPr>
            <w:tcW w:w="570" w:type="dxa"/>
            <w:vMerge w:val="continue"/>
            <w:vAlign w:val="center"/>
          </w:tcPr>
          <w:p>
            <w:pPr>
              <w:adjustRightInd w:val="0"/>
              <w:snapToGrid w:val="0"/>
              <w:spacing w:line="320" w:lineRule="exact"/>
              <w:jc w:val="center"/>
              <w:rPr>
                <w:rFonts w:hint="eastAsia" w:ascii="仿宋_GB2312" w:eastAsia="仿宋_GB2312"/>
                <w:b/>
                <w:bCs/>
              </w:rPr>
            </w:pPr>
          </w:p>
        </w:tc>
        <w:tc>
          <w:tcPr>
            <w:tcW w:w="774"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lang w:eastAsia="zh-CN"/>
              </w:rPr>
            </w:pPr>
            <w:r>
              <w:rPr>
                <w:rFonts w:hint="eastAsia" w:eastAsia="仿宋_GB2312"/>
                <w:b/>
                <w:szCs w:val="21"/>
              </w:rPr>
              <w:t>建筑</w:t>
            </w:r>
            <w:r>
              <w:rPr>
                <w:rFonts w:hint="eastAsia" w:eastAsia="仿宋_GB2312"/>
                <w:b/>
                <w:szCs w:val="21"/>
                <w:lang w:val="en-US" w:eastAsia="zh-CN"/>
              </w:rPr>
              <w:t>系数</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650"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087"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979" w:type="dxa"/>
            <w:vAlign w:val="center"/>
          </w:tcPr>
          <w:p>
            <w:pPr>
              <w:autoSpaceDE w:val="0"/>
              <w:autoSpaceDN w:val="0"/>
              <w:adjustRightInd w:val="0"/>
              <w:spacing w:line="240" w:lineRule="exact"/>
              <w:jc w:val="center"/>
              <w:rPr>
                <w:rFonts w:hint="eastAsia" w:ascii="仿宋_GB2312" w:eastAsia="仿宋_GB2312"/>
                <w:b/>
                <w:bCs/>
                <w:szCs w:val="21"/>
                <w:lang w:eastAsia="zh-CN"/>
              </w:rPr>
            </w:pPr>
            <w:r>
              <w:rPr>
                <w:rFonts w:hint="eastAsia" w:ascii="仿宋_GB2312" w:eastAsia="仿宋_GB2312"/>
                <w:b/>
                <w:bCs/>
                <w:szCs w:val="21"/>
                <w:lang w:eastAsia="zh-CN"/>
              </w:rPr>
              <w:t>产业</w:t>
            </w:r>
          </w:p>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szCs w:val="21"/>
                <w:lang w:eastAsia="zh-CN"/>
              </w:rPr>
              <w:t>类型</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GP2022-23</w:t>
            </w:r>
          </w:p>
        </w:tc>
        <w:tc>
          <w:tcPr>
            <w:tcW w:w="690" w:type="dxa"/>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cs="Times New Roman"/>
                <w:szCs w:val="21"/>
                <w:lang w:val="en-US" w:eastAsia="zh-CN"/>
              </w:rPr>
              <w:t>惠州市惠城区高新科技产业园惠南大道SD15-01-01-02地块</w:t>
            </w:r>
          </w:p>
        </w:tc>
        <w:tc>
          <w:tcPr>
            <w:tcW w:w="615"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SD15-01-01-02</w:t>
            </w:r>
          </w:p>
        </w:tc>
        <w:tc>
          <w:tcPr>
            <w:tcW w:w="570" w:type="dxa"/>
            <w:tcMar>
              <w:left w:w="0" w:type="dxa"/>
              <w:right w:w="0" w:type="dxa"/>
            </w:tcMar>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一类工业用地</w:t>
            </w:r>
          </w:p>
        </w:tc>
        <w:tc>
          <w:tcPr>
            <w:tcW w:w="774"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11774.97</w:t>
            </w:r>
          </w:p>
        </w:tc>
        <w:tc>
          <w:tcPr>
            <w:tcW w:w="948"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16028.92</w:t>
            </w:r>
          </w:p>
        </w:tc>
        <w:tc>
          <w:tcPr>
            <w:tcW w:w="7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≥30</w:t>
            </w:r>
          </w:p>
        </w:tc>
        <w:tc>
          <w:tcPr>
            <w:tcW w:w="672"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1.6</w:t>
            </w:r>
            <w:r>
              <w:rPr>
                <w:rFonts w:hint="default" w:ascii="仿宋_GB2312" w:hAnsi="Times New Roman" w:eastAsia="仿宋_GB2312" w:cs="Times New Roman"/>
                <w:szCs w:val="21"/>
                <w:lang w:val="en-US" w:eastAsia="zh-CN"/>
              </w:rPr>
              <w:t>-</w:t>
            </w:r>
            <w:r>
              <w:rPr>
                <w:rFonts w:hint="eastAsia" w:ascii="仿宋_GB2312" w:hAnsi="Times New Roman" w:eastAsia="仿宋_GB2312" w:cs="Times New Roman"/>
                <w:szCs w:val="21"/>
                <w:lang w:val="en-US" w:eastAsia="zh-CN"/>
              </w:rPr>
              <w:t>2</w:t>
            </w:r>
            <w:r>
              <w:rPr>
                <w:rFonts w:hint="default" w:ascii="仿宋_GB2312" w:hAnsi="Times New Roman" w:eastAsia="仿宋_GB2312" w:cs="Times New Roman"/>
                <w:szCs w:val="21"/>
                <w:lang w:val="en-US" w:eastAsia="zh-CN"/>
              </w:rPr>
              <w:t>.</w:t>
            </w:r>
            <w:r>
              <w:rPr>
                <w:rFonts w:hint="eastAsia" w:ascii="仿宋_GB2312" w:hAnsi="Times New Roman" w:eastAsia="仿宋_GB2312" w:cs="Times New Roman"/>
                <w:szCs w:val="21"/>
                <w:lang w:val="en-US" w:eastAsia="zh-CN"/>
              </w:rPr>
              <w:t>5</w:t>
            </w:r>
          </w:p>
        </w:tc>
        <w:tc>
          <w:tcPr>
            <w:tcW w:w="165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25647-40072（其中配套设施面积≥95）</w:t>
            </w:r>
          </w:p>
        </w:tc>
        <w:tc>
          <w:tcPr>
            <w:tcW w:w="1087"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办公及生活服务设施每100平方米计容积率建筑面积≥1个，厂房每100平方米计容积率建筑面积≥0.3个。停车场须按不低于总停车位的10%的比例配置充电设施。</w:t>
            </w:r>
          </w:p>
        </w:tc>
        <w:tc>
          <w:tcPr>
            <w:tcW w:w="90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15-20</w:t>
            </w:r>
          </w:p>
        </w:tc>
        <w:tc>
          <w:tcPr>
            <w:tcW w:w="979"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电气机械及器材制造业</w:t>
            </w:r>
          </w:p>
        </w:tc>
        <w:tc>
          <w:tcPr>
            <w:tcW w:w="67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50年</w:t>
            </w:r>
          </w:p>
          <w:p>
            <w:pPr>
              <w:jc w:val="center"/>
              <w:rPr>
                <w:rFonts w:hint="eastAsia" w:ascii="仿宋_GB2312" w:hAnsi="Times New Roman" w:eastAsia="仿宋_GB2312" w:cs="Times New Roman"/>
                <w:szCs w:val="21"/>
                <w:lang w:val="en-US" w:eastAsia="zh-CN"/>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D57CF"/>
    <w:rsid w:val="01EF36E6"/>
    <w:rsid w:val="045C3FD8"/>
    <w:rsid w:val="04946AA6"/>
    <w:rsid w:val="04980BBF"/>
    <w:rsid w:val="07386886"/>
    <w:rsid w:val="081260E5"/>
    <w:rsid w:val="082B1937"/>
    <w:rsid w:val="0D167AC3"/>
    <w:rsid w:val="0DF23899"/>
    <w:rsid w:val="0E7A65F6"/>
    <w:rsid w:val="0F5C7083"/>
    <w:rsid w:val="101D3BC2"/>
    <w:rsid w:val="10BD4DFA"/>
    <w:rsid w:val="111502FA"/>
    <w:rsid w:val="11497254"/>
    <w:rsid w:val="129D2A19"/>
    <w:rsid w:val="137618AF"/>
    <w:rsid w:val="1378696F"/>
    <w:rsid w:val="13D50F1B"/>
    <w:rsid w:val="14895F86"/>
    <w:rsid w:val="165A06F9"/>
    <w:rsid w:val="167673A1"/>
    <w:rsid w:val="17AA0480"/>
    <w:rsid w:val="17CA1CA6"/>
    <w:rsid w:val="188D227F"/>
    <w:rsid w:val="1A0B2C56"/>
    <w:rsid w:val="1AA5305E"/>
    <w:rsid w:val="1ADB0E54"/>
    <w:rsid w:val="1BBA2C7F"/>
    <w:rsid w:val="1C5904D7"/>
    <w:rsid w:val="1DA10869"/>
    <w:rsid w:val="1DD73460"/>
    <w:rsid w:val="1DE30B94"/>
    <w:rsid w:val="1E862B6D"/>
    <w:rsid w:val="1F7C2358"/>
    <w:rsid w:val="20ED2229"/>
    <w:rsid w:val="214F5422"/>
    <w:rsid w:val="22890C8D"/>
    <w:rsid w:val="23635EBF"/>
    <w:rsid w:val="25032222"/>
    <w:rsid w:val="25055FD6"/>
    <w:rsid w:val="2568124D"/>
    <w:rsid w:val="28165B10"/>
    <w:rsid w:val="28433B8B"/>
    <w:rsid w:val="28774868"/>
    <w:rsid w:val="2A6B42FA"/>
    <w:rsid w:val="2A870225"/>
    <w:rsid w:val="2AC221EF"/>
    <w:rsid w:val="2B5D4967"/>
    <w:rsid w:val="2B991EB8"/>
    <w:rsid w:val="304C7078"/>
    <w:rsid w:val="31CE6D72"/>
    <w:rsid w:val="35335FA2"/>
    <w:rsid w:val="35521EEE"/>
    <w:rsid w:val="36061489"/>
    <w:rsid w:val="37607760"/>
    <w:rsid w:val="38014789"/>
    <w:rsid w:val="380440B7"/>
    <w:rsid w:val="381E07C6"/>
    <w:rsid w:val="38BD14D1"/>
    <w:rsid w:val="393D0EAE"/>
    <w:rsid w:val="3A1539BC"/>
    <w:rsid w:val="3B315140"/>
    <w:rsid w:val="3C13026D"/>
    <w:rsid w:val="3DDC60B5"/>
    <w:rsid w:val="3F3714BF"/>
    <w:rsid w:val="40231E47"/>
    <w:rsid w:val="40363F40"/>
    <w:rsid w:val="411B39E1"/>
    <w:rsid w:val="42CE6157"/>
    <w:rsid w:val="43706132"/>
    <w:rsid w:val="45C047BF"/>
    <w:rsid w:val="45DC2943"/>
    <w:rsid w:val="48572CF1"/>
    <w:rsid w:val="4A1228DB"/>
    <w:rsid w:val="4A1B1ECC"/>
    <w:rsid w:val="4AE74DD0"/>
    <w:rsid w:val="4C2E14D5"/>
    <w:rsid w:val="4F760243"/>
    <w:rsid w:val="4F861E18"/>
    <w:rsid w:val="50AC3441"/>
    <w:rsid w:val="538C505C"/>
    <w:rsid w:val="552F0F07"/>
    <w:rsid w:val="55B64659"/>
    <w:rsid w:val="565101CA"/>
    <w:rsid w:val="567F481B"/>
    <w:rsid w:val="56C4102B"/>
    <w:rsid w:val="57A3234F"/>
    <w:rsid w:val="57C844D5"/>
    <w:rsid w:val="596A13D8"/>
    <w:rsid w:val="5A893EB0"/>
    <w:rsid w:val="5AF873B7"/>
    <w:rsid w:val="5B5F145E"/>
    <w:rsid w:val="5C8041A9"/>
    <w:rsid w:val="5D241B5A"/>
    <w:rsid w:val="5E3B0440"/>
    <w:rsid w:val="606821F3"/>
    <w:rsid w:val="60BF3E28"/>
    <w:rsid w:val="614A26F3"/>
    <w:rsid w:val="64D925C4"/>
    <w:rsid w:val="666D730B"/>
    <w:rsid w:val="68527CA2"/>
    <w:rsid w:val="692A6240"/>
    <w:rsid w:val="6E243EC3"/>
    <w:rsid w:val="6EB83079"/>
    <w:rsid w:val="6F4B3B48"/>
    <w:rsid w:val="733D74F1"/>
    <w:rsid w:val="73BE7EBD"/>
    <w:rsid w:val="73D33D8C"/>
    <w:rsid w:val="748840AA"/>
    <w:rsid w:val="750D1BD7"/>
    <w:rsid w:val="761352C3"/>
    <w:rsid w:val="77DD303C"/>
    <w:rsid w:val="79E82C45"/>
    <w:rsid w:val="7ACA2817"/>
    <w:rsid w:val="7B832F79"/>
    <w:rsid w:val="7D060077"/>
    <w:rsid w:val="7D3574F9"/>
    <w:rsid w:val="7F25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Administrator</cp:lastModifiedBy>
  <cp:lastPrinted>2022-03-09T07:18:00Z</cp:lastPrinted>
  <dcterms:modified xsi:type="dcterms:W3CDTF">2022-08-02T03:04:12Z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2376193916E34C638ABC7AA510448726</vt:lpwstr>
  </property>
</Properties>
</file>